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ind w:left="2880" w:firstLine="0"/>
        <w:jc w:val="both"/>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       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Conflict of Interest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jc w:val="both"/>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jc w:val="both"/>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jc w:val="both"/>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jc w:val="both"/>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jc w:val="both"/>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jc w:val="both"/>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jc w:val="both"/>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RESPONSIBILITY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pStyle w:val="Heading1"/>
        <w:numPr>
          <w:ilvl w:val="0"/>
          <w:numId w:val="7"/>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Conflict of Interest </w:t>
      </w:r>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 xml:space="preserve">A conflict of interest is a situation in which a person or organization is involved in multiple interests, financial or otherwise, and serving one interest could involve working against another.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person related to the employee or Vendor such as (Spouse, Sister, Brothers, Parent/Parent-in-law, Son/ Son-in-law, Daughter/Daughter-in-law</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0">
      <w:pPr>
        <w:pStyle w:val="Heading1"/>
        <w:numPr>
          <w:ilvl w:val="0"/>
          <w:numId w:val="7"/>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avoid any form of biases or preferences in selecting the right employee or business associates.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relationships do not lead to favoritism thereby compromising the organizational interest.</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protect the interest of the shareholders, stakeholders and clients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7"/>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numPr>
          <w:ilvl w:val="0"/>
          <w:numId w:val="7"/>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HOD, Human Resource Department, Legal Department, Management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pStyle w:val="Heading1"/>
        <w:numPr>
          <w:ilvl w:val="0"/>
          <w:numId w:val="7"/>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4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relationship of the company with its employees should be based on mutual trust. As the company is committed to preserve the interests of people under its employment, it expects them to act only towards its own fundamental interests.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4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of interest may occur whenever an employee’s interest in a particular subject may lead them to actions, activities or relationships that undermine the company and may place it to disadvantage.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48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few scenarios (but not limited to) in which a member might experience a conflict of interest:</w:t>
      </w:r>
    </w:p>
    <w:p w:rsidR="00000000" w:rsidDel="00000000" w:rsidP="00000000" w:rsidRDefault="00000000" w:rsidRPr="00000000" w14:paraId="00000060">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ability to use their position with the company to their personal advantage.</w:t>
      </w:r>
    </w:p>
    <w:p w:rsidR="00000000" w:rsidDel="00000000" w:rsidP="00000000" w:rsidRDefault="00000000" w:rsidRPr="00000000" w14:paraId="00000061">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engaging in activities that will bring direct or indirect profit to a competitor.</w:t>
      </w:r>
    </w:p>
    <w:p w:rsidR="00000000" w:rsidDel="00000000" w:rsidP="00000000" w:rsidRDefault="00000000" w:rsidRPr="00000000" w14:paraId="00000062">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owning shares of a competitor’s stock.</w:t>
      </w:r>
    </w:p>
    <w:p w:rsidR="00000000" w:rsidDel="00000000" w:rsidP="00000000" w:rsidRDefault="00000000" w:rsidRPr="00000000" w14:paraId="00000063">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using connections obtained through the company for their own private purposes.</w:t>
      </w:r>
    </w:p>
    <w:p w:rsidR="00000000" w:rsidDel="00000000" w:rsidP="00000000" w:rsidRDefault="00000000" w:rsidRPr="00000000" w14:paraId="00000064">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using company equipment or means to support an external business.</w:t>
      </w:r>
    </w:p>
    <w:p w:rsidR="00000000" w:rsidDel="00000000" w:rsidP="00000000" w:rsidRDefault="00000000" w:rsidRPr="00000000" w14:paraId="00000065">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Employees acting in ways that may compromise the company’s legality (e.g. taking bribes or bribing representatives of legal authorities.</w:t>
      </w:r>
    </w:p>
    <w:p w:rsidR="00000000" w:rsidDel="00000000" w:rsidP="00000000" w:rsidRDefault="00000000" w:rsidRPr="00000000" w14:paraId="00000066">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relative or close friend reports to a supervisor who affects their job responsibilities, pay and promotions.</w:t>
      </w:r>
    </w:p>
    <w:p w:rsidR="00000000" w:rsidDel="00000000" w:rsidP="00000000" w:rsidRDefault="00000000" w:rsidRPr="00000000" w14:paraId="00000067">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male manager dates a female member who reports to him or vice versa.</w:t>
      </w:r>
    </w:p>
    <w:p w:rsidR="00000000" w:rsidDel="00000000" w:rsidP="00000000" w:rsidRDefault="00000000" w:rsidRPr="00000000" w14:paraId="00000068">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purchasing agent hires his family/extended family to provide vending services to the company lunch areas.</w:t>
      </w:r>
    </w:p>
    <w:p w:rsidR="00000000" w:rsidDel="00000000" w:rsidP="00000000" w:rsidRDefault="00000000" w:rsidRPr="00000000" w14:paraId="00000069">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member starts a company that provides similar services to similar clients as those of his/her full time employer. This is especially a conflict of interest when an employer has had his/her sign a non-compete agreement.</w:t>
      </w:r>
    </w:p>
    <w:p w:rsidR="00000000" w:rsidDel="00000000" w:rsidP="00000000" w:rsidRDefault="00000000" w:rsidRPr="00000000" w14:paraId="0000006A">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member who is a part of HR team fails to disclose that he/she is related to a job candidate whom the company team is considering for position.</w:t>
      </w:r>
    </w:p>
    <w:p w:rsidR="00000000" w:rsidDel="00000000" w:rsidP="00000000" w:rsidRDefault="00000000" w:rsidRPr="00000000" w14:paraId="0000006B">
      <w:pPr>
        <w:numPr>
          <w:ilvl w:val="1"/>
          <w:numId w:val="5"/>
        </w:numPr>
        <w:spacing w:after="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A manager provides paid consulting services on the weekend.</w:t>
      </w:r>
    </w:p>
    <w:p w:rsidR="00000000" w:rsidDel="00000000" w:rsidP="00000000" w:rsidRDefault="00000000" w:rsidRPr="00000000" w14:paraId="0000006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undue practices / favors to/ from potential clients to secure the business which could impact on company brand image / reputation.</w:t>
      </w:r>
    </w:p>
    <w:p w:rsidR="00000000" w:rsidDel="00000000" w:rsidP="00000000" w:rsidRDefault="00000000" w:rsidRPr="00000000" w14:paraId="0000006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works part-time in the evening for a company that makes a product that compete with the products of his/her full time employer.</w:t>
      </w:r>
    </w:p>
    <w:p w:rsidR="00000000" w:rsidDel="00000000" w:rsidP="00000000" w:rsidRDefault="00000000" w:rsidRPr="00000000" w14:paraId="0000006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of the company board of directors accepts fees and provides advice to a company that is in direct competition with the company on whose board of directors he/she sits.</w:t>
      </w:r>
    </w:p>
    <w:p w:rsidR="00000000" w:rsidDel="00000000" w:rsidP="00000000" w:rsidRDefault="00000000" w:rsidRPr="00000000" w14:paraId="0000006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purchasing agent accepts trips and gifts from a vendor and then selects the vendor’s products for purchase by the company.</w:t>
      </w:r>
    </w:p>
    <w:p w:rsidR="00000000" w:rsidDel="00000000" w:rsidP="00000000" w:rsidRDefault="00000000" w:rsidRPr="00000000" w14:paraId="0000007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member accepts free gifts and free products from a vendor company and then recommends the purchase of these products without comparing them to comparable products from other vendors.  </w:t>
      </w:r>
    </w:p>
    <w:p w:rsidR="00000000" w:rsidDel="00000000" w:rsidP="00000000" w:rsidRDefault="00000000" w:rsidRPr="00000000" w14:paraId="0000007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head of department negotiates an agreement in his/her employer’s best interests for a stock option plan from which he/she will directly benefit.</w:t>
      </w:r>
    </w:p>
    <w:p w:rsidR="00000000" w:rsidDel="00000000" w:rsidP="00000000" w:rsidRDefault="00000000" w:rsidRPr="00000000" w14:paraId="0000007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trainer is paid to provide training classes that teach customers how to use the company’s software products. He/she puts up a website that offers his/her same training on the products as a for-profit enterprise in his/her spares time. </w:t>
      </w:r>
    </w:p>
    <w:p w:rsidR="00000000" w:rsidDel="00000000" w:rsidP="00000000" w:rsidRDefault="00000000" w:rsidRPr="00000000" w14:paraId="0000007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avoid favoritism and maintain fair practices within the Organization Relationship defined below should not be hired in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Sisters, Brothers, </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parents in law, </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16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 son in law, daughters/ daughters in law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possibility that a conflict of interest may occur can be addressed and resolved before any actual damage is done. Therefore, when an employee understands or suspects that a conflict of interest exists, they should bring this matter to the attention of management so corrective actions may be taken. Supervisors must also keep an eye on potential conflict of interests of their subordinates.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responsibility of resolving a conflict of interest starts from the immediate supervisor and may reach senior management. All conflicts of interest will be resolved as fairly as possible. Senior management has the responsibility of the final decision when a solution cannot be found.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general, employees are advised to refrain from letting personal and/or financial interests and external activities come into opposition with the company’s fundamental interests.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The same principles apply to the company in regards to its clients. When applicable, we are committed to not offer services or form partnerships with companies who are in direct competition with one of our existing clients.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DISCIPLINARY ACTION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when a conflict of interest is deliberately concealed or when a solution cannot be found, disciplinary action may be invoked up to and including termination.</w:t>
        <w:tab/>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5">
      <w:pPr>
        <w:pStyle w:val="Heading1"/>
        <w:numPr>
          <w:ilvl w:val="0"/>
          <w:numId w:val="7"/>
        </w:numPr>
        <w:ind w:left="720" w:hanging="360"/>
        <w:rPr>
          <w:rFonts w:ascii="Calibri" w:cs="Calibri" w:eastAsia="Calibri" w:hAnsi="Calibri"/>
          <w:b w:val="1"/>
        </w:rPr>
      </w:pPr>
      <w:bookmarkStart w:colFirst="0" w:colLast="0" w:name="_heading=h.3dy6vkm" w:id="6"/>
      <w:bookmarkEnd w:id="6"/>
      <w:r w:rsidDel="00000000" w:rsidR="00000000" w:rsidRPr="00000000">
        <w:rPr>
          <w:b w:val="1"/>
          <w:color w:val="000000"/>
          <w:sz w:val="22"/>
          <w:szCs w:val="22"/>
          <w:rtl w:val="0"/>
        </w:rPr>
        <w:t xml:space="preserve">RESTRICTIVE CLAUSE</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276225</wp:posOffset>
            </wp:positionV>
            <wp:extent cx="1596964" cy="51901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96964" cy="519013"/>
                    </a:xfrm>
                    <a:prstGeom prst="rect"/>
                    <a:ln/>
                  </pic:spPr>
                </pic:pic>
              </a:graphicData>
            </a:graphic>
          </wp:anchor>
        </w:drawing>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A3">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4">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Conflict of Interest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0AA">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AB">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1C51E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paragraph" w:styleId="NormalWeb">
    <w:name w:val="Normal (Web)"/>
    <w:basedOn w:val="Normal"/>
    <w:uiPriority w:val="99"/>
    <w:unhideWhenUsed w:val="1"/>
    <w:rsid w:val="00797C74"/>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7C78FF"/>
    <w:rPr>
      <w:i w:val="1"/>
      <w:iCs w:val="1"/>
    </w:rPr>
  </w:style>
  <w:style w:type="character" w:styleId="Heading1Char" w:customStyle="1">
    <w:name w:val="Heading 1 Char"/>
    <w:basedOn w:val="DefaultParagraphFont"/>
    <w:link w:val="Heading1"/>
    <w:uiPriority w:val="9"/>
    <w:rsid w:val="001C51E5"/>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1C51E5"/>
    <w:pPr>
      <w:spacing w:line="259" w:lineRule="auto"/>
      <w:outlineLvl w:val="9"/>
    </w:pPr>
  </w:style>
  <w:style w:type="paragraph" w:styleId="TOC1">
    <w:name w:val="toc 1"/>
    <w:basedOn w:val="Normal"/>
    <w:next w:val="Normal"/>
    <w:autoRedefine w:val="1"/>
    <w:uiPriority w:val="39"/>
    <w:unhideWhenUsed w:val="1"/>
    <w:rsid w:val="001C51E5"/>
    <w:pPr>
      <w:spacing w:after="100"/>
    </w:pPr>
  </w:style>
  <w:style w:type="character" w:styleId="Hyperlink">
    <w:name w:val="Hyperlink"/>
    <w:basedOn w:val="DefaultParagraphFont"/>
    <w:uiPriority w:val="99"/>
    <w:unhideWhenUsed w:val="1"/>
    <w:rsid w:val="001C51E5"/>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QqVD/JHHeneJWRTS6EZi2jGHKA==">AMUW2mWz4NdJ7xpVb7p2mW5z5klTyOlf/15D/MrxWl7O+lP/s9tz10ixOWm/HY6BFucTHidFLsmrHnGkx/QFHEYaH6+lo5YIcKt/W9DUSDpSNzcKlTM3SPTFCtjBDmAbK4s/cptrHK7YTC56sFYoS1ynz3kMEcxQg96g8A577/zksk0QuJk+/VSzsVPuRXWpWIyRP3vgSsVH24n1LXaB6xj9HwB9Kkf/Dg==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