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2">
      <w:pPr>
        <w:jc w:val="cente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3">
      <w:pPr>
        <w:jc w:val="cente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4">
      <w:pPr>
        <w:jc w:val="center"/>
        <w:rPr>
          <w:rFonts w:ascii="Calibri Light" w:cs="Calibri Light" w:eastAsia="Calibri Light" w:hAnsi="Calibri L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6">
      <w:pPr>
        <w:jc w:val="center"/>
        <w:rPr>
          <w:rFonts w:ascii="Calibri Light" w:cs="Calibri Light" w:eastAsia="Calibri Light" w:hAnsi="Calibri Light"/>
          <w:color w:val="bf8f00"/>
        </w:rPr>
      </w:pPr>
      <w:r w:rsidDel="00000000" w:rsidR="00000000" w:rsidRPr="00000000">
        <w:rPr>
          <w:rtl w:val="0"/>
        </w:rPr>
      </w:r>
    </w:p>
    <w:p w:rsidR="00000000" w:rsidDel="00000000" w:rsidP="00000000" w:rsidRDefault="00000000" w:rsidRPr="00000000" w14:paraId="00000007">
      <w:pPr>
        <w:jc w:val="center"/>
        <w:rPr>
          <w:rFonts w:ascii="Calibri Light" w:cs="Calibri Light" w:eastAsia="Calibri Light" w:hAnsi="Calibri Light"/>
          <w:color w:val="806000"/>
        </w:rPr>
      </w:pPr>
      <w:r w:rsidDel="00000000" w:rsidR="00000000" w:rsidRPr="00000000">
        <w:rPr>
          <w:rtl w:val="0"/>
        </w:rPr>
      </w:r>
    </w:p>
    <w:p w:rsidR="00000000" w:rsidDel="00000000" w:rsidP="00000000" w:rsidRDefault="00000000" w:rsidRPr="00000000" w14:paraId="00000008">
      <w:pPr>
        <w:jc w:val="center"/>
        <w:rPr>
          <w:rFonts w:ascii="Calibri Light" w:cs="Calibri Light" w:eastAsia="Calibri Light" w:hAnsi="Calibri Light"/>
          <w:color w:val="bf8f00"/>
        </w:rPr>
      </w:pPr>
      <w:r w:rsidDel="00000000" w:rsidR="00000000" w:rsidRPr="00000000">
        <w:rPr>
          <w:rFonts w:ascii="Calibri Light" w:cs="Calibri Light" w:eastAsia="Calibri Light" w:hAnsi="Calibri Light"/>
          <w:color w:val="806000"/>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Light" w:cs="Calibri Light" w:eastAsia="Calibri Light" w:hAnsi="Calibri Light"/>
        </w:rPr>
      </w:pPr>
      <w:r w:rsidDel="00000000" w:rsidR="00000000" w:rsidRPr="00000000">
        <w:rPr>
          <w:rFonts w:ascii="Calibri Light" w:cs="Calibri Light" w:eastAsia="Calibri Light" w:hAnsi="Calibri Light"/>
          <w:color w:val="806000"/>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B">
      <w:pPr>
        <w:jc w:val="both"/>
        <w:rPr>
          <w:rFonts w:ascii="Calibri Light" w:cs="Calibri Light" w:eastAsia="Calibri Light" w:hAnsi="Calibri Light"/>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C">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Policy Name:</w:t>
            </w:r>
          </w:p>
        </w:tc>
        <w:tc>
          <w:tcPr>
            <w:gridSpan w:val="2"/>
            <w:shd w:fill="auto" w:val="clear"/>
            <w:vAlign w:val="center"/>
          </w:tcPr>
          <w:p w:rsidR="00000000" w:rsidDel="00000000" w:rsidP="00000000" w:rsidRDefault="00000000" w:rsidRPr="00000000" w14:paraId="0000000D">
            <w:pPr>
              <w:spacing w:after="0" w:line="240" w:lineRule="auto"/>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Employee Engagement Policy</w:t>
            </w:r>
          </w:p>
        </w:tc>
      </w:tr>
      <w:tr>
        <w:trPr>
          <w:cantSplit w:val="0"/>
          <w:trHeight w:val="457" w:hRule="atLeast"/>
          <w:tblHeader w:val="0"/>
        </w:trPr>
        <w:tc>
          <w:tcPr>
            <w:shd w:fill="auto" w:val="clear"/>
            <w:vAlign w:val="center"/>
          </w:tcPr>
          <w:p w:rsidR="00000000" w:rsidDel="00000000" w:rsidP="00000000" w:rsidRDefault="00000000" w:rsidRPr="00000000" w14:paraId="0000000F">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Policy Number:</w:t>
            </w:r>
          </w:p>
        </w:tc>
        <w:tc>
          <w:tcPr>
            <w:gridSpan w:val="2"/>
            <w:shd w:fill="auto" w:val="clear"/>
            <w:vAlign w:val="center"/>
          </w:tcPr>
          <w:p w:rsidR="00000000" w:rsidDel="00000000" w:rsidP="00000000" w:rsidRDefault="00000000" w:rsidRPr="00000000" w14:paraId="00000010">
            <w:pPr>
              <w:spacing w:after="0" w:line="240" w:lineRule="auto"/>
              <w:rPr>
                <w:rFonts w:ascii="Calibri Light" w:cs="Calibri Light" w:eastAsia="Calibri Light" w:hAnsi="Calibri Light"/>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2">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Version:</w:t>
            </w:r>
          </w:p>
        </w:tc>
        <w:tc>
          <w:tcPr>
            <w:shd w:fill="auto" w:val="clear"/>
            <w:vAlign w:val="center"/>
          </w:tcPr>
          <w:p w:rsidR="00000000" w:rsidDel="00000000" w:rsidP="00000000" w:rsidRDefault="00000000" w:rsidRPr="00000000" w14:paraId="00000014">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Effective Date:</w:t>
            </w:r>
          </w:p>
        </w:tc>
      </w:tr>
    </w:tbl>
    <w:p w:rsidR="00000000" w:rsidDel="00000000" w:rsidP="00000000" w:rsidRDefault="00000000" w:rsidRPr="00000000" w14:paraId="00000015">
      <w:pPr>
        <w:spacing w:after="0" w:line="240" w:lineRule="auto"/>
        <w:rPr>
          <w:rFonts w:ascii="Calibri Light" w:cs="Calibri Light" w:eastAsia="Calibri Light" w:hAnsi="Calibri Light"/>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6">
            <w:pPr>
              <w:spacing w:after="0" w:line="240" w:lineRule="auto"/>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17">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8">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Name</w:t>
            </w:r>
          </w:p>
        </w:tc>
        <w:tc>
          <w:tcPr>
            <w:shd w:fill="auto" w:val="clear"/>
            <w:vAlign w:val="center"/>
          </w:tcPr>
          <w:p w:rsidR="00000000" w:rsidDel="00000000" w:rsidP="00000000" w:rsidRDefault="00000000" w:rsidRPr="00000000" w14:paraId="00000019">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Designation</w:t>
            </w:r>
          </w:p>
        </w:tc>
        <w:tc>
          <w:tcPr>
            <w:shd w:fill="auto" w:val="clear"/>
            <w:vAlign w:val="center"/>
          </w:tcPr>
          <w:p w:rsidR="00000000" w:rsidDel="00000000" w:rsidP="00000000" w:rsidRDefault="00000000" w:rsidRPr="00000000" w14:paraId="0000001A">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Signature</w:t>
            </w:r>
          </w:p>
        </w:tc>
        <w:tc>
          <w:tcPr>
            <w:shd w:fill="auto" w:val="clear"/>
            <w:vAlign w:val="center"/>
          </w:tcPr>
          <w:p w:rsidR="00000000" w:rsidDel="00000000" w:rsidP="00000000" w:rsidRDefault="00000000" w:rsidRPr="00000000" w14:paraId="0000001B">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C">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Prepared By:</w:t>
            </w:r>
          </w:p>
        </w:tc>
        <w:tc>
          <w:tcPr>
            <w:shd w:fill="auto" w:val="clear"/>
            <w:vAlign w:val="center"/>
          </w:tcPr>
          <w:p w:rsidR="00000000" w:rsidDel="00000000" w:rsidP="00000000" w:rsidRDefault="00000000" w:rsidRPr="00000000" w14:paraId="0000001D">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0">
            <w:pPr>
              <w:spacing w:after="0" w:line="240" w:lineRule="auto"/>
              <w:rPr>
                <w:rFonts w:ascii="Calibri Light" w:cs="Calibri Light" w:eastAsia="Calibri Light" w:hAnsi="Calibri Light"/>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1">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Reviewed By:</w:t>
            </w:r>
          </w:p>
        </w:tc>
        <w:tc>
          <w:tcPr>
            <w:shd w:fill="auto" w:val="clear"/>
            <w:vAlign w:val="center"/>
          </w:tcPr>
          <w:p w:rsidR="00000000" w:rsidDel="00000000" w:rsidP="00000000" w:rsidRDefault="00000000" w:rsidRPr="00000000" w14:paraId="00000022">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5">
            <w:pPr>
              <w:spacing w:after="0" w:line="240" w:lineRule="auto"/>
              <w:rPr>
                <w:rFonts w:ascii="Calibri Light" w:cs="Calibri Light" w:eastAsia="Calibri Light" w:hAnsi="Calibri Light"/>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6">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Approved By:</w:t>
            </w:r>
          </w:p>
        </w:tc>
        <w:tc>
          <w:tcPr>
            <w:shd w:fill="auto" w:val="clear"/>
            <w:vAlign w:val="center"/>
          </w:tcPr>
          <w:p w:rsidR="00000000" w:rsidDel="00000000" w:rsidP="00000000" w:rsidRDefault="00000000" w:rsidRPr="00000000" w14:paraId="00000027">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A">
            <w:pPr>
              <w:spacing w:after="0" w:line="240" w:lineRule="auto"/>
              <w:rPr>
                <w:rFonts w:ascii="Calibri Light" w:cs="Calibri Light" w:eastAsia="Calibri Light" w:hAnsi="Calibri Light"/>
              </w:rPr>
            </w:pPr>
            <w:r w:rsidDel="00000000" w:rsidR="00000000" w:rsidRPr="00000000">
              <w:rPr>
                <w:rtl w:val="0"/>
              </w:rPr>
            </w:r>
          </w:p>
        </w:tc>
      </w:tr>
    </w:tbl>
    <w:p w:rsidR="00000000" w:rsidDel="00000000" w:rsidP="00000000" w:rsidRDefault="00000000" w:rsidRPr="00000000" w14:paraId="0000002B">
      <w:pPr>
        <w:spacing w:after="0" w:line="240" w:lineRule="auto"/>
        <w:rPr>
          <w:rFonts w:ascii="Calibri Light" w:cs="Calibri Light" w:eastAsia="Calibri Light" w:hAnsi="Calibri Light"/>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C">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Date</w:t>
            </w:r>
          </w:p>
        </w:tc>
        <w:tc>
          <w:tcPr>
            <w:shd w:fill="auto" w:val="clear"/>
          </w:tcPr>
          <w:p w:rsidR="00000000" w:rsidDel="00000000" w:rsidP="00000000" w:rsidRDefault="00000000" w:rsidRPr="00000000" w14:paraId="0000002D">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Version</w:t>
            </w:r>
          </w:p>
        </w:tc>
        <w:tc>
          <w:tcPr>
            <w:shd w:fill="auto" w:val="clear"/>
          </w:tcPr>
          <w:p w:rsidR="00000000" w:rsidDel="00000000" w:rsidP="00000000" w:rsidRDefault="00000000" w:rsidRPr="00000000" w14:paraId="0000002E">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F">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1">
            <w:pPr>
              <w:spacing w:after="0" w:line="240" w:lineRule="auto"/>
              <w:rPr>
                <w:rFonts w:ascii="Calibri Light" w:cs="Calibri Light" w:eastAsia="Calibri Light" w:hAnsi="Calibri Light"/>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4">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r>
    </w:tbl>
    <w:p w:rsidR="00000000" w:rsidDel="00000000" w:rsidP="00000000" w:rsidRDefault="00000000" w:rsidRPr="00000000" w14:paraId="00000035">
      <w:pPr>
        <w:rPr>
          <w:rFonts w:ascii="Calibri Light" w:cs="Calibri Light" w:eastAsia="Calibri Light" w:hAnsi="Calibri Light"/>
          <w:u w:val="single"/>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8">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RESPONSIBILITY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0">
      <w:pPr>
        <w:rPr>
          <w:rFonts w:ascii="Calibri" w:cs="Calibri" w:eastAsia="Calibri" w:hAnsi="Calibri"/>
          <w:b w:val="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4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2">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3">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4">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5">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6">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7">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8">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9">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A">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B">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C">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D">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E">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F">
      <w:pPr>
        <w:pStyle w:val="Heading1"/>
        <w:numPr>
          <w:ilvl w:val="0"/>
          <w:numId w:val="6"/>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Employee engagement</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goes beyond activities, games, and events. It is the extent to which employees feel passionate about their jobs and are committed to the organization, and put discretionary effort into their work.</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Calibri Light" w:cs="Calibri Light" w:eastAsia="Calibri Light" w:hAnsi="Calibri Light"/>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5">
      <w:pPr>
        <w:pStyle w:val="Heading1"/>
        <w:numPr>
          <w:ilvl w:val="0"/>
          <w:numId w:val="6"/>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align employees with your company values</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increase productivity</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enhance wellbeing</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improve workplace conditions</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understand employee attitudes</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motivate employees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numPr>
          <w:ilvl w:val="0"/>
          <w:numId w:val="6"/>
        </w:numPr>
        <w:ind w:left="720" w:hanging="360"/>
        <w:rPr>
          <w:b w:val="1"/>
        </w:rPr>
      </w:pPr>
      <w:bookmarkStart w:colFirst="0" w:colLast="0" w:name="_heading=h.3znysh7" w:id="3"/>
      <w:bookmarkEnd w:id="3"/>
      <w:r w:rsidDel="00000000" w:rsidR="00000000" w:rsidRPr="00000000">
        <w:rPr>
          <w:b w:val="1"/>
          <w:color w:val="000000"/>
          <w:sz w:val="22"/>
          <w:szCs w:val="22"/>
          <w:rtl w:val="0"/>
        </w:rPr>
        <w:t xml:space="preserve">APPLICABILITY</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1"/>
        <w:numPr>
          <w:ilvl w:val="0"/>
          <w:numId w:val="6"/>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Human Resource Department, Employee Engagement Committee (EEC) and Management.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1"/>
        <w:numPr>
          <w:ilvl w:val="0"/>
          <w:numId w:val="6"/>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strive to engage our people because we know that a committed workforce focuses on the customer, performs more effectively and inspires innovation. We also know that the better the people feel about work, the less likely they are to be absent from work and more likely to talk positively to others in the wider community about work.</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committed to creating a high performance work environment characterized by high levels of employee engagement. Where practicable, employees will be consulted over key aspects of the management of their working life and their involvement and feedback will be taken on board and seen as a pre-requisite for the successful implementation of initiatives.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includes aiming to: </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open and honest communication to employees on both business and individual performance </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input from employees on important initiatives that impact on their role and work environment</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employee views on a regular basis</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on the development of business and individual objectives </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Carefully consider employee feedback and where appropriate act on suggestions offered and/or concerns raised</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mechanisms for the investigation and resolution of grievances</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individuals’ contributions in generating ideas and creative solutions through direct involvement and participation.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Engagement Committee (ECC) looks after all the engagement activities conducted in the Organization.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1"/>
        <w:numPr>
          <w:ilvl w:val="0"/>
          <w:numId w:val="6"/>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RESTRICTIVE CLAUSE</w:t>
      </w:r>
    </w:p>
    <w:p w:rsidR="00000000" w:rsidDel="00000000" w:rsidP="00000000" w:rsidRDefault="00000000" w:rsidRPr="00000000" w14:paraId="0000007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7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1847850</wp:posOffset>
            </wp:positionH>
            <wp:positionV relativeFrom="paragraph">
              <wp:posOffset>216508</wp:posOffset>
            </wp:positionV>
            <wp:extent cx="1905000" cy="619125"/>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anchor>
        </w:drawing>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rtl w:val="0"/>
        </w:rPr>
        <w:tab/>
        <w:tab/>
        <w:tab/>
        <w:tab/>
      </w: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t>
        <w:tab/>
        <w:tab/>
        <w:tab/>
        <w:tab/>
        <w:t xml:space="preserve"> </w:t>
      </w:r>
      <w:hyperlink r:id="rId10">
        <w:r w:rsidDel="00000000" w:rsidR="00000000" w:rsidRPr="00000000">
          <w:rPr>
            <w:color w:val="1155cc"/>
            <w:u w:val="single"/>
            <w:rtl w:val="0"/>
          </w:rPr>
          <w:t xml:space="preserve">www.gspuconsulting.com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E">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AF">
      <w:pPr>
        <w:jc w:val="center"/>
        <w:rPr>
          <w:i w:val="1"/>
        </w:rPr>
      </w:pPr>
      <w:r w:rsidDel="00000000" w:rsidR="00000000" w:rsidRPr="00000000">
        <w:rPr>
          <w:i w:val="1"/>
          <w:rtl w:val="0"/>
        </w:rPr>
        <w:t xml:space="preserve">Please note this is a draft Policy prepared by GSPU Group for your reference. You may amend it suiting to your requirement. GSPU Group expressly disclaims any liability arising out of the reliance on this draft.</w:t>
      </w:r>
      <w:r w:rsidDel="00000000" w:rsidR="00000000" w:rsidRPr="00000000">
        <w:rPr>
          <w:rtl w:val="0"/>
        </w:rPr>
        <w:tab/>
      </w:r>
      <w:r w:rsidDel="00000000" w:rsidR="00000000" w:rsidRPr="00000000">
        <w:rPr>
          <w:rtl w:val="0"/>
        </w:rPr>
      </w:r>
    </w:p>
    <w:sectPr>
      <w:headerReference r:id="rId11" w:type="default"/>
      <w:footerReference r:id="rId12" w:type="default"/>
      <w:pgSz w:h="15840" w:w="12240" w:orient="portrait"/>
      <w:pgMar w:bottom="1440" w:top="1440" w:left="1440" w:right="1440" w:header="720" w:footer="1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w:t>
    </w:r>
    <w:r w:rsidDel="00000000" w:rsidR="00000000" w:rsidRPr="00000000">
      <w:rPr>
        <w:rFonts w:ascii="Tahoma" w:cs="Tahoma" w:eastAsia="Tahoma" w:hAnsi="Tahoma"/>
        <w:i w:val="1"/>
        <w:sz w:val="20"/>
        <w:szCs w:val="20"/>
        <w:rtl w:val="0"/>
      </w:rPr>
      <w:t xml:space="preserve">Employee Engagement Policy</w:t>
    </w:r>
    <w:r w:rsidDel="00000000" w:rsidR="00000000" w:rsidRPr="00000000">
      <w:rPr>
        <w:rtl w:val="0"/>
      </w:rPr>
    </w:r>
  </w:p>
  <w:p w:rsidR="00000000" w:rsidDel="00000000" w:rsidP="00000000" w:rsidRDefault="00000000" w:rsidRPr="00000000" w14:paraId="000000B5">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B6">
    <w:pPr>
      <w:spacing w:after="0" w:line="240" w:lineRule="auto"/>
      <w:ind w:left="360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2691C"/>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2691C"/>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2691C"/>
    <w:pPr>
      <w:spacing w:line="259" w:lineRule="auto"/>
      <w:outlineLvl w:val="9"/>
    </w:pPr>
  </w:style>
  <w:style w:type="paragraph" w:styleId="TOC1">
    <w:name w:val="toc 1"/>
    <w:basedOn w:val="Normal"/>
    <w:next w:val="Normal"/>
    <w:autoRedefine w:val="1"/>
    <w:uiPriority w:val="39"/>
    <w:unhideWhenUsed w:val="1"/>
    <w:rsid w:val="00F2691C"/>
    <w:pPr>
      <w:spacing w:after="100"/>
    </w:pPr>
  </w:style>
  <w:style w:type="character" w:styleId="Hyperlink">
    <w:name w:val="Hyperlink"/>
    <w:basedOn w:val="DefaultParagraphFont"/>
    <w:uiPriority w:val="99"/>
    <w:unhideWhenUsed w:val="1"/>
    <w:rsid w:val="00F2691C"/>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gspuconsulting.com"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rozd7qMc0v39UxwDKsao0IKSg==">AMUW2mWu8Z6f/eP/Rw/QjgCMRlTCRFNM9GZ1L3eLdvl1X+jVVZqTGlGMgvB5qomec6YW/u7q5RKfrP81Kb9rMQ6P0ivUWiiTkCxHkD0Ajv++9dGs82eGW6toWl2LLYzYcJ84ZD0ytJSsEvNyweFpOjekOBmTUrkpRucqs1EkM04QGPi2LtcWuJakJK0l1/2MZOVWE3Bvn6s3MRh39dPwMrPVcmWiiApy1w==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